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DD2C" w14:textId="0CBA0F1A" w:rsidR="00AD3A88" w:rsidRPr="00AD3A88" w:rsidRDefault="00AD3A88" w:rsidP="00CD1E02">
      <w:pPr>
        <w:rPr>
          <w:rFonts w:hint="eastAsia"/>
        </w:rPr>
      </w:pPr>
      <w:r w:rsidRPr="00AD3A88">
        <w:rPr>
          <w:rFonts w:hint="eastAsia"/>
        </w:rPr>
        <w:t>本律师团队服务于上海市</w:t>
      </w:r>
      <w:proofErr w:type="gramStart"/>
      <w:r w:rsidRPr="00AD3A88">
        <w:rPr>
          <w:rFonts w:hint="eastAsia"/>
        </w:rPr>
        <w:t>崇明区</w:t>
      </w:r>
      <w:proofErr w:type="gramEnd"/>
      <w:r w:rsidRPr="00AD3A88">
        <w:rPr>
          <w:rFonts w:hint="eastAsia"/>
        </w:rPr>
        <w:t>三岛，崇明岛、长兴岛、横沙岛，为崇明地区法律服务行业提供了优质的服务。</w:t>
      </w:r>
    </w:p>
    <w:p w14:paraId="7A5CA875" w14:textId="73B7724D" w:rsidR="00CD1E02" w:rsidRPr="00CD1E02" w:rsidRDefault="00CD1E02" w:rsidP="00CD1E02">
      <w:pPr>
        <w:rPr>
          <w:rFonts w:hint="eastAsia"/>
        </w:rPr>
      </w:pPr>
      <w:r w:rsidRPr="00CD1E02">
        <w:t>危害税收征管是指违反国家税收法规，妨害国家税收征管活动，依法应受刑事处罚的一类行为。这类行为不仅破坏了税收征管秩序，也损害了国家的税收利益。以下是对危害税收征管的详细解析：</w:t>
      </w:r>
    </w:p>
    <w:p w14:paraId="4FB792F4" w14:textId="77777777" w:rsidR="00CD1E02" w:rsidRPr="00CD1E02" w:rsidRDefault="00CD1E02" w:rsidP="00CD1E02">
      <w:pPr>
        <w:rPr>
          <w:rFonts w:hint="eastAsia"/>
          <w:b/>
          <w:bCs/>
        </w:rPr>
      </w:pPr>
      <w:r w:rsidRPr="00CD1E02">
        <w:rPr>
          <w:b/>
          <w:bCs/>
        </w:rPr>
        <w:t>一、定义与范围</w:t>
      </w:r>
    </w:p>
    <w:p w14:paraId="508D7D9F" w14:textId="77777777" w:rsidR="00CD1E02" w:rsidRPr="00CD1E02" w:rsidRDefault="00CD1E02" w:rsidP="00CD1E02">
      <w:pPr>
        <w:rPr>
          <w:rFonts w:hint="eastAsia"/>
        </w:rPr>
      </w:pPr>
      <w:r w:rsidRPr="00CD1E02">
        <w:t>危害税收征管罪是一个概括性罪名，包括多种具体犯罪行为，如逃税罪、抗税罪、逃避追缴欠税罪、骗取出口退税罪、虚开增值税专用发票、用于骗取出口退税抵扣税款发票罪等。这些行为都违反了税收征管法律法规，以各种方式不履行税收义务，破坏国家税收管理制度，且数额较大或者情节严重。</w:t>
      </w:r>
    </w:p>
    <w:p w14:paraId="5F191493" w14:textId="77777777" w:rsidR="00CD1E02" w:rsidRPr="00CD1E02" w:rsidRDefault="00CD1E02" w:rsidP="00CD1E02">
      <w:pPr>
        <w:rPr>
          <w:rFonts w:hint="eastAsia"/>
          <w:b/>
          <w:bCs/>
        </w:rPr>
      </w:pPr>
      <w:r w:rsidRPr="00CD1E02">
        <w:rPr>
          <w:b/>
          <w:bCs/>
        </w:rPr>
        <w:t>二、具体行为表现</w:t>
      </w:r>
    </w:p>
    <w:p w14:paraId="6037471B" w14:textId="77777777" w:rsidR="00CD1E02" w:rsidRPr="00CD1E02" w:rsidRDefault="00CD1E02" w:rsidP="00CD1E02">
      <w:pPr>
        <w:numPr>
          <w:ilvl w:val="0"/>
          <w:numId w:val="1"/>
        </w:numPr>
        <w:rPr>
          <w:rFonts w:hint="eastAsia"/>
        </w:rPr>
      </w:pPr>
      <w:r w:rsidRPr="00CD1E02">
        <w:rPr>
          <w:b/>
          <w:bCs/>
        </w:rPr>
        <w:t>逃税罪</w:t>
      </w:r>
      <w:r w:rsidRPr="00CD1E02">
        <w:t>：纳税人采取欺骗、隐瞒手段进行虚假纳税申报或者不申报，逃避缴纳税款数额较大并且占应纳税额百分之十以上的行为。经税务机关依法下达追缴通知后，补缴应纳税款，缴纳滞纳金，已受行政处罚的，不予追究刑事责任。但五年内因逃避缴纳税款受过刑事处罚或者被税务机关给予二次以上行政处罚的除外。</w:t>
      </w:r>
    </w:p>
    <w:p w14:paraId="43AFD2BD" w14:textId="77777777" w:rsidR="00CD1E02" w:rsidRPr="00CD1E02" w:rsidRDefault="00CD1E02" w:rsidP="00CD1E02">
      <w:pPr>
        <w:numPr>
          <w:ilvl w:val="0"/>
          <w:numId w:val="1"/>
        </w:numPr>
        <w:rPr>
          <w:rFonts w:hint="eastAsia"/>
        </w:rPr>
      </w:pPr>
      <w:r w:rsidRPr="00CD1E02">
        <w:rPr>
          <w:b/>
          <w:bCs/>
        </w:rPr>
        <w:t>抗税罪</w:t>
      </w:r>
      <w:r w:rsidRPr="00CD1E02">
        <w:t>：以暴力、威胁方法拒不缴纳税款的行为。</w:t>
      </w:r>
    </w:p>
    <w:p w14:paraId="4B348722" w14:textId="77777777" w:rsidR="00CD1E02" w:rsidRPr="00CD1E02" w:rsidRDefault="00CD1E02" w:rsidP="00CD1E02">
      <w:pPr>
        <w:numPr>
          <w:ilvl w:val="0"/>
          <w:numId w:val="1"/>
        </w:numPr>
        <w:rPr>
          <w:rFonts w:hint="eastAsia"/>
        </w:rPr>
      </w:pPr>
      <w:r w:rsidRPr="00CD1E02">
        <w:rPr>
          <w:b/>
          <w:bCs/>
        </w:rPr>
        <w:t>逃避追缴欠税罪</w:t>
      </w:r>
      <w:r w:rsidRPr="00CD1E02">
        <w:t>：纳税人欠缴应纳税款，采取转移或者隐匿财产的手段，致使税务机关无法追缴欠缴的税款，数额在一万元以上的行为。</w:t>
      </w:r>
    </w:p>
    <w:p w14:paraId="39310176" w14:textId="77777777" w:rsidR="00CD1E02" w:rsidRPr="00CD1E02" w:rsidRDefault="00CD1E02" w:rsidP="00CD1E02">
      <w:pPr>
        <w:numPr>
          <w:ilvl w:val="0"/>
          <w:numId w:val="1"/>
        </w:numPr>
        <w:rPr>
          <w:rFonts w:hint="eastAsia"/>
        </w:rPr>
      </w:pPr>
      <w:r w:rsidRPr="00CD1E02">
        <w:rPr>
          <w:b/>
          <w:bCs/>
        </w:rPr>
        <w:t>骗取出口退税罪</w:t>
      </w:r>
      <w:r w:rsidRPr="00CD1E02">
        <w:t>：以假报出口或者其他欺骗手段，骗取国家出口退税，数额较大的行为。</w:t>
      </w:r>
    </w:p>
    <w:p w14:paraId="2811EB1A" w14:textId="77777777" w:rsidR="00CD1E02" w:rsidRPr="00CD1E02" w:rsidRDefault="00CD1E02" w:rsidP="00CD1E02">
      <w:pPr>
        <w:numPr>
          <w:ilvl w:val="0"/>
          <w:numId w:val="1"/>
        </w:numPr>
        <w:rPr>
          <w:rFonts w:hint="eastAsia"/>
        </w:rPr>
      </w:pPr>
      <w:r w:rsidRPr="00CD1E02">
        <w:rPr>
          <w:b/>
          <w:bCs/>
        </w:rPr>
        <w:t>虚开增值税专用发票、用于骗取出口退税抵扣税款发票罪</w:t>
      </w:r>
      <w:r w:rsidRPr="00CD1E02">
        <w:t>：有为他人虚开、为自己虚开、让他人为自己虚开、介绍他人虚开的行为，涉及增值税专用发票或用于骗取出口退税、抵扣税款的其他发票。</w:t>
      </w:r>
    </w:p>
    <w:p w14:paraId="5275191D" w14:textId="77777777" w:rsidR="00CD1E02" w:rsidRPr="00CD1E02" w:rsidRDefault="00CD1E02" w:rsidP="00CD1E02">
      <w:pPr>
        <w:rPr>
          <w:rFonts w:hint="eastAsia"/>
          <w:b/>
          <w:bCs/>
        </w:rPr>
      </w:pPr>
      <w:r w:rsidRPr="00CD1E02">
        <w:rPr>
          <w:b/>
          <w:bCs/>
        </w:rPr>
        <w:t>三、法律后果</w:t>
      </w:r>
    </w:p>
    <w:p w14:paraId="7151511D" w14:textId="77777777" w:rsidR="00CD1E02" w:rsidRPr="00CD1E02" w:rsidRDefault="00CD1E02" w:rsidP="00CD1E02">
      <w:pPr>
        <w:rPr>
          <w:rFonts w:hint="eastAsia"/>
        </w:rPr>
      </w:pPr>
      <w:r w:rsidRPr="00CD1E02">
        <w:t>根据《中华人民共和国刑法》的相关规定，危害税收征管的行为将受到法律的严惩。具体刑罚根据犯罪情节的轻重而有所不同，可能包括有期徒刑、拘役、罚金等。例如，对于虚开增值税专用发票或者虚开用于骗取出口退税、抵扣税款的其他发票的行为，根据虚开税款数额的大小，刑罚可从三年以下有期徒刑到无期徒刑不等。</w:t>
      </w:r>
    </w:p>
    <w:p w14:paraId="57A1AEBC" w14:textId="77777777" w:rsidR="00CD1E02" w:rsidRPr="00CD1E02" w:rsidRDefault="00CD1E02" w:rsidP="00CD1E02">
      <w:pPr>
        <w:rPr>
          <w:rFonts w:hint="eastAsia"/>
          <w:b/>
          <w:bCs/>
        </w:rPr>
      </w:pPr>
      <w:r w:rsidRPr="00CD1E02">
        <w:rPr>
          <w:b/>
          <w:bCs/>
        </w:rPr>
        <w:t>四、案例分析</w:t>
      </w:r>
    </w:p>
    <w:p w14:paraId="70B93D08" w14:textId="77777777" w:rsidR="00CD1E02" w:rsidRPr="00CD1E02" w:rsidRDefault="00CD1E02" w:rsidP="00CD1E02">
      <w:pPr>
        <w:rPr>
          <w:rFonts w:hint="eastAsia"/>
        </w:rPr>
      </w:pPr>
      <w:r w:rsidRPr="00CD1E02">
        <w:t>近年来，最高人民法院、最高人民检察院联合发布了多个依法惩治危害税收征管的典型刑事案例，如四川某食品有限公司、郑某某逃税案，北京某餐饮有限公司、陈某、宫某逃避追缴欠税案，石某某等骗取出口</w:t>
      </w:r>
      <w:proofErr w:type="gramStart"/>
      <w:r w:rsidRPr="00CD1E02">
        <w:t>退税案</w:t>
      </w:r>
      <w:proofErr w:type="gramEnd"/>
      <w:r w:rsidRPr="00CD1E02">
        <w:t>等。这些案例不仅展示了危害税收征管行为的多样性和复杂性，也体现了司法机关对这类犯罪行为的严厉打击态度。</w:t>
      </w:r>
    </w:p>
    <w:p w14:paraId="0D675AD7" w14:textId="77777777" w:rsidR="00CD1E02" w:rsidRPr="00CD1E02" w:rsidRDefault="00CD1E02" w:rsidP="00CD1E02">
      <w:pPr>
        <w:rPr>
          <w:rFonts w:hint="eastAsia"/>
          <w:b/>
          <w:bCs/>
        </w:rPr>
      </w:pPr>
      <w:r w:rsidRPr="00CD1E02">
        <w:rPr>
          <w:b/>
          <w:bCs/>
        </w:rPr>
        <w:t>五、防范措施</w:t>
      </w:r>
    </w:p>
    <w:p w14:paraId="51149231" w14:textId="77777777" w:rsidR="00CD1E02" w:rsidRPr="00CD1E02" w:rsidRDefault="00CD1E02" w:rsidP="00CD1E02">
      <w:pPr>
        <w:rPr>
          <w:rFonts w:hint="eastAsia"/>
        </w:rPr>
      </w:pPr>
      <w:r w:rsidRPr="00CD1E02">
        <w:t>为有效防范危害税收征管行为的发生，需要从多个方面入手：</w:t>
      </w:r>
    </w:p>
    <w:p w14:paraId="1D394276" w14:textId="77777777" w:rsidR="00CD1E02" w:rsidRPr="00CD1E02" w:rsidRDefault="00CD1E02" w:rsidP="00CD1E02">
      <w:pPr>
        <w:numPr>
          <w:ilvl w:val="0"/>
          <w:numId w:val="2"/>
        </w:numPr>
        <w:rPr>
          <w:rFonts w:hint="eastAsia"/>
        </w:rPr>
      </w:pPr>
      <w:r w:rsidRPr="00CD1E02">
        <w:rPr>
          <w:b/>
          <w:bCs/>
        </w:rPr>
        <w:t>加强税收法规宣传</w:t>
      </w:r>
      <w:r w:rsidRPr="00CD1E02">
        <w:t>：提高纳税人和扣缴义务人的税收法律意识，使其自觉遵守税收法规。</w:t>
      </w:r>
    </w:p>
    <w:p w14:paraId="38B7687B" w14:textId="77777777" w:rsidR="00CD1E02" w:rsidRPr="00CD1E02" w:rsidRDefault="00CD1E02" w:rsidP="00CD1E02">
      <w:pPr>
        <w:numPr>
          <w:ilvl w:val="0"/>
          <w:numId w:val="2"/>
        </w:numPr>
        <w:rPr>
          <w:rFonts w:hint="eastAsia"/>
        </w:rPr>
      </w:pPr>
      <w:r w:rsidRPr="00CD1E02">
        <w:rPr>
          <w:b/>
          <w:bCs/>
        </w:rPr>
        <w:t>完善税收征管制度</w:t>
      </w:r>
      <w:r w:rsidRPr="00CD1E02">
        <w:t>：建立健全税收征管信息系统，加强对纳税人的日常监管和风险预警。</w:t>
      </w:r>
    </w:p>
    <w:p w14:paraId="6F3018B0" w14:textId="77777777" w:rsidR="00CD1E02" w:rsidRPr="00CD1E02" w:rsidRDefault="00CD1E02" w:rsidP="00CD1E02">
      <w:pPr>
        <w:numPr>
          <w:ilvl w:val="0"/>
          <w:numId w:val="2"/>
        </w:numPr>
        <w:rPr>
          <w:rFonts w:hint="eastAsia"/>
        </w:rPr>
      </w:pPr>
      <w:r w:rsidRPr="00CD1E02">
        <w:rPr>
          <w:b/>
          <w:bCs/>
        </w:rPr>
        <w:t>加大执法力度</w:t>
      </w:r>
      <w:r w:rsidRPr="00CD1E02">
        <w:t>：对发现的危害税收征管行为依法严厉查处，形成有效震慑。</w:t>
      </w:r>
    </w:p>
    <w:p w14:paraId="23300842" w14:textId="77777777" w:rsidR="00CD1E02" w:rsidRPr="00CD1E02" w:rsidRDefault="00CD1E02" w:rsidP="00CD1E02">
      <w:pPr>
        <w:numPr>
          <w:ilvl w:val="0"/>
          <w:numId w:val="2"/>
        </w:numPr>
        <w:rPr>
          <w:rFonts w:hint="eastAsia"/>
        </w:rPr>
      </w:pPr>
      <w:r w:rsidRPr="00CD1E02">
        <w:rPr>
          <w:b/>
          <w:bCs/>
        </w:rPr>
        <w:t>推动社会共治</w:t>
      </w:r>
      <w:r w:rsidRPr="00CD1E02">
        <w:t>：加强与其他部门的协作配合，形成税收征管的合力。同时，鼓励社会各界参与税收监督，共同维护税收征管秩序。</w:t>
      </w:r>
    </w:p>
    <w:p w14:paraId="04B98A3F" w14:textId="77777777" w:rsidR="00CD1E02" w:rsidRPr="00CD1E02" w:rsidRDefault="00CD1E02" w:rsidP="00CD1E02">
      <w:pPr>
        <w:rPr>
          <w:rFonts w:hint="eastAsia"/>
        </w:rPr>
      </w:pPr>
      <w:r w:rsidRPr="00CD1E02">
        <w:t>综上所述，危害税收征管是一种严重违法行为，将受到国家法律的严厉制裁。所有纳税人和扣缴义务人都应严格遵守国家税收法规，诚实纳税，共同维护国家的税收征管秩序和税收利</w:t>
      </w:r>
      <w:r w:rsidRPr="00CD1E02">
        <w:lastRenderedPageBreak/>
        <w:t>益。</w:t>
      </w:r>
    </w:p>
    <w:p w14:paraId="43FF4383" w14:textId="77777777" w:rsidR="00713F2C" w:rsidRPr="00CD1E02" w:rsidRDefault="00713F2C" w:rsidP="00CD1E02">
      <w:pPr>
        <w:rPr>
          <w:rFonts w:hint="eastAsia"/>
        </w:rPr>
      </w:pPr>
    </w:p>
    <w:sectPr w:rsidR="00713F2C" w:rsidRPr="00CD1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557F2"/>
    <w:multiLevelType w:val="multilevel"/>
    <w:tmpl w:val="3802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574DC"/>
    <w:multiLevelType w:val="multilevel"/>
    <w:tmpl w:val="F1AE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640368">
    <w:abstractNumId w:val="0"/>
  </w:num>
  <w:num w:numId="2" w16cid:durableId="59343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2C"/>
    <w:rsid w:val="00713F2C"/>
    <w:rsid w:val="00AD3A88"/>
    <w:rsid w:val="00B66D54"/>
    <w:rsid w:val="00BC2F67"/>
    <w:rsid w:val="00CD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1153"/>
  <w15:chartTrackingRefBased/>
  <w15:docId w15:val="{DFBC877E-161F-4E1B-9A99-0144F1C6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634525">
      <w:bodyDiv w:val="1"/>
      <w:marLeft w:val="0"/>
      <w:marRight w:val="0"/>
      <w:marTop w:val="0"/>
      <w:marBottom w:val="0"/>
      <w:divBdr>
        <w:top w:val="none" w:sz="0" w:space="0" w:color="auto"/>
        <w:left w:val="none" w:sz="0" w:space="0" w:color="auto"/>
        <w:bottom w:val="none" w:sz="0" w:space="0" w:color="auto"/>
        <w:right w:val="none" w:sz="0" w:space="0" w:color="auto"/>
      </w:divBdr>
    </w:div>
    <w:div w:id="1166364364">
      <w:bodyDiv w:val="1"/>
      <w:marLeft w:val="0"/>
      <w:marRight w:val="0"/>
      <w:marTop w:val="0"/>
      <w:marBottom w:val="0"/>
      <w:divBdr>
        <w:top w:val="none" w:sz="0" w:space="0" w:color="auto"/>
        <w:left w:val="none" w:sz="0" w:space="0" w:color="auto"/>
        <w:bottom w:val="none" w:sz="0" w:space="0" w:color="auto"/>
        <w:right w:val="none" w:sz="0" w:space="0" w:color="auto"/>
      </w:divBdr>
    </w:div>
    <w:div w:id="1284920027">
      <w:bodyDiv w:val="1"/>
      <w:marLeft w:val="0"/>
      <w:marRight w:val="0"/>
      <w:marTop w:val="0"/>
      <w:marBottom w:val="0"/>
      <w:divBdr>
        <w:top w:val="none" w:sz="0" w:space="0" w:color="auto"/>
        <w:left w:val="none" w:sz="0" w:space="0" w:color="auto"/>
        <w:bottom w:val="none" w:sz="0" w:space="0" w:color="auto"/>
        <w:right w:val="none" w:sz="0" w:space="0" w:color="auto"/>
      </w:divBdr>
    </w:div>
    <w:div w:id="16189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2024-08-08T13:38:00Z</dcterms:created>
  <dcterms:modified xsi:type="dcterms:W3CDTF">2024-08-19T00:53:00Z</dcterms:modified>
</cp:coreProperties>
</file>